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14F" w:rsidRPr="0067766C" w:rsidRDefault="0080314F" w:rsidP="0080314F">
      <w:pPr>
        <w:jc w:val="both"/>
        <w:rPr>
          <w:rFonts w:ascii="Arial" w:hAnsi="Arial" w:cs="Arial"/>
          <w:color w:val="000000" w:themeColor="text1"/>
        </w:rPr>
      </w:pPr>
      <w:bookmarkStart w:id="0" w:name="_GoBack"/>
      <w:r w:rsidRPr="0067766C">
        <w:rPr>
          <w:rFonts w:ascii="Arial" w:hAnsi="Arial" w:cs="Arial"/>
          <w:color w:val="000000" w:themeColor="text1"/>
        </w:rPr>
        <w:t>PROYECCION RESPUESTA PROPOSICION 645-2025</w:t>
      </w:r>
    </w:p>
    <w:p w:rsidR="00F7322F" w:rsidRPr="0067766C" w:rsidRDefault="00F7322F" w:rsidP="00F7322F">
      <w:pPr>
        <w:jc w:val="both"/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41. ¿Qué medidas se han implementado para mejorar la oportunidad y calidad en la atención? Solicito el plan operativo o de mejora y los resultados alcanzados, preferiblemente en Excel o documento técnico. </w:t>
      </w:r>
    </w:p>
    <w:p w:rsidR="005D4F99" w:rsidRPr="0067766C" w:rsidRDefault="005D4F99" w:rsidP="005D4F99">
      <w:pPr>
        <w:jc w:val="both"/>
        <w:rPr>
          <w:rFonts w:ascii="Arial" w:hAnsi="Arial" w:cs="Arial"/>
          <w:color w:val="000000" w:themeColor="text1"/>
          <w:highlight w:val="yellow"/>
        </w:rPr>
      </w:pPr>
      <w:r w:rsidRPr="0067766C">
        <w:rPr>
          <w:rFonts w:ascii="Arial" w:hAnsi="Arial" w:cs="Arial"/>
          <w:color w:val="000000" w:themeColor="text1"/>
        </w:rPr>
        <w:t xml:space="preserve">RESPUESTA: </w:t>
      </w:r>
      <w:r w:rsidR="00D17200" w:rsidRPr="0067766C">
        <w:rPr>
          <w:rFonts w:ascii="Arial" w:hAnsi="Arial" w:cs="Arial"/>
          <w:color w:val="000000" w:themeColor="text1"/>
          <w:highlight w:val="yellow"/>
        </w:rPr>
        <w:t>SUBGERENCIA PRESTACION SERVICIOS SALUD</w:t>
      </w:r>
      <w:r w:rsidR="00130522" w:rsidRPr="0067766C">
        <w:rPr>
          <w:rFonts w:ascii="Arial" w:hAnsi="Arial" w:cs="Arial"/>
          <w:color w:val="000000" w:themeColor="text1"/>
          <w:highlight w:val="yellow"/>
        </w:rPr>
        <w:t xml:space="preserve"> – AMBULATORIOS </w:t>
      </w:r>
      <w:r w:rsidR="0080314F" w:rsidRPr="0067766C">
        <w:rPr>
          <w:rFonts w:ascii="Arial" w:hAnsi="Arial" w:cs="Arial"/>
          <w:color w:val="000000" w:themeColor="text1"/>
          <w:highlight w:val="yellow"/>
        </w:rPr>
        <w:t>–</w:t>
      </w:r>
      <w:r w:rsidR="00130522" w:rsidRPr="0067766C">
        <w:rPr>
          <w:rFonts w:ascii="Arial" w:hAnsi="Arial" w:cs="Arial"/>
          <w:color w:val="000000" w:themeColor="text1"/>
          <w:highlight w:val="yellow"/>
        </w:rPr>
        <w:t xml:space="preserve"> CALIDAD</w:t>
      </w:r>
    </w:p>
    <w:p w:rsidR="006C2950" w:rsidRPr="0067766C" w:rsidRDefault="00C572BC" w:rsidP="00C572BC">
      <w:pPr>
        <w:jc w:val="both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hAnsi="Arial" w:cs="Arial"/>
          <w:color w:val="000000" w:themeColor="text1"/>
        </w:rPr>
        <w:t xml:space="preserve">Desde la </w:t>
      </w:r>
      <w:r w:rsidR="0080314F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subred integrada de servicios de salud Sur </w:t>
      </w: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se han implementado diferentes estrategias para garantizar </w:t>
      </w:r>
      <w:r w:rsidRPr="0067766C">
        <w:rPr>
          <w:rFonts w:ascii="Arial" w:hAnsi="Arial" w:cs="Arial"/>
          <w:color w:val="000000" w:themeColor="text1"/>
        </w:rPr>
        <w:t>la oportunidad y calidad en la atención de los servicios ofertados para lo cual se tiene defini</w:t>
      </w:r>
      <w:r w:rsidR="00797032" w:rsidRPr="0067766C">
        <w:rPr>
          <w:rFonts w:ascii="Arial" w:hAnsi="Arial" w:cs="Arial"/>
          <w:color w:val="000000" w:themeColor="text1"/>
        </w:rPr>
        <w:t xml:space="preserve">do </w:t>
      </w:r>
      <w:r w:rsidRPr="0067766C">
        <w:rPr>
          <w:rFonts w:ascii="Arial" w:hAnsi="Arial" w:cs="Arial"/>
          <w:color w:val="000000" w:themeColor="text1"/>
        </w:rPr>
        <w:t xml:space="preserve">el portafolio de servicios </w:t>
      </w:r>
      <w:r w:rsidR="006C2950" w:rsidRPr="0067766C">
        <w:rPr>
          <w:rFonts w:ascii="Arial" w:hAnsi="Arial" w:cs="Arial"/>
          <w:color w:val="000000" w:themeColor="text1"/>
        </w:rPr>
        <w:t>para la prestación</w:t>
      </w:r>
      <w:r w:rsidR="0080314F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la prestación de los servicios básicos como Medicina, enfermería y salud oral, así como especialidades básicas como Medicina interna y familiar, pediatría, ginecobstetricia</w:t>
      </w:r>
      <w:r w:rsidR="006F1821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.</w:t>
      </w:r>
    </w:p>
    <w:p w:rsidR="0080314F" w:rsidRPr="0067766C" w:rsidRDefault="0080314F" w:rsidP="00C572BC">
      <w:pPr>
        <w:jc w:val="both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Las localidades de Usme, Ciudad </w:t>
      </w:r>
      <w:r w:rsidR="006C2950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Bolívar, y</w:t>
      </w: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Tunjuelito se han favorecido con</w:t>
      </w:r>
      <w:r w:rsidR="006C2950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</w:t>
      </w:r>
      <w:r w:rsidR="00277DB9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nuevas infraestructuras</w:t>
      </w: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que ha</w:t>
      </w:r>
      <w:r w:rsidR="006C2950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n</w:t>
      </w: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permitido el incremento de la oferta de servicios buscando mejorar la oportunidad en la atención, así como la disminución de las barreras de acceso.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Así mismo se han implementado estrategias para garantizar el uso de los servicios </w:t>
      </w:r>
      <w:r w:rsidR="000B3A19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dado por la alta demanda de los </w:t>
      </w:r>
      <w:proofErr w:type="spellStart"/>
      <w:r w:rsidR="000B3A19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usurios</w:t>
      </w:r>
      <w:proofErr w:type="spellEnd"/>
      <w:r w:rsidR="000B3A19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.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•Optimizar la capacidad instalada en infraestructura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•Implementación de diferentes canales para acceder a los servicios como el </w:t>
      </w:r>
      <w:proofErr w:type="spellStart"/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Call</w:t>
      </w:r>
      <w:proofErr w:type="spellEnd"/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 Center, ventanillas integrales en todos los puntos de las unidades, página web y la demanda inducida de las rutas de la salud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•Programación de jornadas de especialistas en las unidades de ruralidad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•Monitoreo y reporte diario de disponibilidad de agendas al área de facturación, Contac center y profesionales de enlace para la asignación de citas disponibles o canceladas a otros usuarios.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•Fortalecimiento de la demanda inducida a través de las diferentes rutas integrales de atención en salud, Cohortes impactando en la completitud de las agendas, así como los resultados de los indicadores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•Trabajo articulado con la oficina de participación comunitaria y servicio al ciudadano en filas para el adecuado direccionamiento de los usuarios de acuerdo a la identificación de necesidades, donde se realiza asignación de citas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>•Implementación de línea para mejorar la accesesibildad para la cancelación de citas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•Socialización del comportamiento de las inasistencias que impactan en la producción y que se hace necesario informar oportunamente que no se va asistir a la cita para darle la oportunidad a otros usuarios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Es </w:t>
      </w:r>
      <w:r w:rsidR="006F1821"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importante contextualizar </w:t>
      </w: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t xml:space="preserve">que existen especialidades que no se logra contar con la oferta requerida de acuerdo a la demanda del servicio  dada por la situación que a nivel nacional  y distrital  no se dispone de la suficiencia del talento humano ocasionando  la prolongación de los tiempos  para acceder a los servicios convirtiéndose  en servicios críticos como  Otorrinolaringología, neurología, dermatología, gastroenterología, urología, ortopedia, anestesia con enfoque de dolor  entre otras especialidades . Sin embargo, la subred ha realizado la gestión de consecución de estos perfiles dependiendo de los tiempos de disponibilidad de los especialistas quienes en ocasiones se logra agendas adicionales y/o extras disminuyendo la demanda insatisfecha del servicio.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1776BD" w:rsidRPr="0067766C" w:rsidRDefault="001776BD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lang w:eastAsia="es-CO"/>
        </w:rPr>
        <w:lastRenderedPageBreak/>
        <w:t xml:space="preserve">De igual forma se ha trabajado en la sensibilización a los usuarios frente a la importancia asistir a la cita asignada, así como informar de manera oportuna la situación de no asistencia o cancelación de la cita. lo anterior teniendo en cuenta que se tiene un promedio de inasistencia del 11% y que cuando no se cancela se le está quitando la posibilidad a otro usuario que requiere del servicio  </w:t>
      </w: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16709B" w:rsidRPr="0067766C" w:rsidRDefault="00C22FC4" w:rsidP="0016709B">
      <w:pPr>
        <w:rPr>
          <w:rFonts w:ascii="Arial" w:eastAsia="Times New Roman" w:hAnsi="Arial" w:cs="Arial"/>
          <w:lang w:eastAsia="es-CO"/>
        </w:rPr>
      </w:pPr>
      <w:r w:rsidRPr="0067766C">
        <w:rPr>
          <w:rFonts w:ascii="Arial" w:eastAsia="Times New Roman" w:hAnsi="Arial" w:cs="Arial"/>
          <w:bCs/>
          <w:color w:val="000000" w:themeColor="text1"/>
          <w:highlight w:val="yellow"/>
          <w:lang w:eastAsia="es-CO"/>
        </w:rPr>
        <w:t>Se anexa</w:t>
      </w:r>
      <w:r w:rsidR="0016709B" w:rsidRPr="0067766C">
        <w:rPr>
          <w:rFonts w:ascii="Arial" w:eastAsia="Times New Roman" w:hAnsi="Arial" w:cs="Arial"/>
          <w:bCs/>
          <w:color w:val="000000" w:themeColor="text1"/>
          <w:highlight w:val="yellow"/>
          <w:lang w:eastAsia="es-CO"/>
        </w:rPr>
        <w:t xml:space="preserve"> </w:t>
      </w:r>
      <w:r w:rsidR="0016709B" w:rsidRPr="0067766C">
        <w:rPr>
          <w:rFonts w:ascii="Arial" w:eastAsia="Times New Roman" w:hAnsi="Arial" w:cs="Arial"/>
          <w:color w:val="000000"/>
          <w:lang w:eastAsia="es-CO"/>
        </w:rPr>
        <w:t xml:space="preserve">planes de mejora </w:t>
      </w:r>
      <w:r w:rsidR="007C57C0" w:rsidRPr="0067766C">
        <w:rPr>
          <w:rFonts w:ascii="Arial" w:eastAsia="Times New Roman" w:hAnsi="Arial" w:cs="Arial"/>
          <w:color w:val="000000"/>
          <w:lang w:eastAsia="es-CO"/>
        </w:rPr>
        <w:t xml:space="preserve">generados en las auditorias de calidad por las diferentes </w:t>
      </w:r>
      <w:r w:rsidR="0016709B" w:rsidRPr="0067766C">
        <w:rPr>
          <w:rFonts w:ascii="Arial" w:eastAsia="Times New Roman" w:hAnsi="Arial" w:cs="Arial"/>
          <w:color w:val="000000"/>
          <w:lang w:eastAsia="es-CO"/>
        </w:rPr>
        <w:t>EAPB</w:t>
      </w:r>
      <w:r w:rsidR="007C57C0" w:rsidRPr="0067766C">
        <w:rPr>
          <w:rFonts w:ascii="Arial" w:eastAsia="Times New Roman" w:hAnsi="Arial" w:cs="Arial"/>
          <w:color w:val="000000"/>
          <w:lang w:eastAsia="es-CO"/>
        </w:rPr>
        <w:t xml:space="preserve"> en los cuales se implementaron acciones </w:t>
      </w:r>
      <w:r w:rsidR="0016709B" w:rsidRPr="0067766C">
        <w:rPr>
          <w:rFonts w:ascii="Arial" w:eastAsia="Times New Roman" w:hAnsi="Arial" w:cs="Arial"/>
          <w:color w:val="000000"/>
          <w:lang w:eastAsia="es-CO"/>
        </w:rPr>
        <w:t>para mejorar oportunidad en medicina general, Salud Oral y Especialidade</w:t>
      </w:r>
      <w:r w:rsidR="007C57C0" w:rsidRPr="0067766C">
        <w:rPr>
          <w:rFonts w:ascii="Arial" w:eastAsia="Times New Roman" w:hAnsi="Arial" w:cs="Arial"/>
          <w:color w:val="000000"/>
          <w:lang w:eastAsia="es-CO"/>
        </w:rPr>
        <w:t>s</w:t>
      </w:r>
    </w:p>
    <w:p w:rsidR="00C22FC4" w:rsidRPr="0067766C" w:rsidRDefault="00C22FC4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highlight w:val="yellow"/>
          <w:lang w:eastAsia="es-CO"/>
        </w:rPr>
      </w:pPr>
    </w:p>
    <w:p w:rsidR="0080314F" w:rsidRPr="0067766C" w:rsidRDefault="0080314F" w:rsidP="0080314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lang w:eastAsia="es-CO"/>
        </w:rPr>
      </w:pPr>
    </w:p>
    <w:p w:rsidR="002273BC" w:rsidRPr="0067766C" w:rsidRDefault="002273BC" w:rsidP="00F7322F">
      <w:pPr>
        <w:jc w:val="both"/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75. ¿Qué acciones específicas ha emprendido la administración Galán para atender las necesidades en salud de poblaciones históricamente discriminadas, como personas en condición de calle, migrantes, comunidades indígenas y personas con discapacidad? </w:t>
      </w:r>
    </w:p>
    <w:p w:rsidR="005D4F99" w:rsidRPr="0067766C" w:rsidRDefault="005D4F99" w:rsidP="005D4F99">
      <w:pPr>
        <w:jc w:val="both"/>
        <w:rPr>
          <w:rFonts w:ascii="Arial" w:hAnsi="Arial" w:cs="Arial"/>
          <w:color w:val="000000" w:themeColor="text1"/>
          <w:highlight w:val="yellow"/>
        </w:rPr>
      </w:pPr>
      <w:r w:rsidRPr="0067766C">
        <w:rPr>
          <w:rFonts w:ascii="Arial" w:hAnsi="Arial" w:cs="Arial"/>
          <w:color w:val="000000" w:themeColor="text1"/>
        </w:rPr>
        <w:t xml:space="preserve">RESPUESTA: </w:t>
      </w:r>
      <w:r w:rsidR="006078AE" w:rsidRPr="0067766C">
        <w:rPr>
          <w:rFonts w:ascii="Arial" w:hAnsi="Arial" w:cs="Arial"/>
          <w:color w:val="000000" w:themeColor="text1"/>
          <w:highlight w:val="yellow"/>
        </w:rPr>
        <w:t>GESTION DEL RIESGO</w:t>
      </w:r>
      <w:r w:rsidR="007C5F45" w:rsidRPr="0067766C">
        <w:rPr>
          <w:rFonts w:ascii="Arial" w:hAnsi="Arial" w:cs="Arial"/>
          <w:color w:val="000000" w:themeColor="text1"/>
          <w:highlight w:val="yellow"/>
        </w:rPr>
        <w:t xml:space="preserve"> – DIRECCION ADINISTRATIVA- AMBULATORIOS </w:t>
      </w:r>
    </w:p>
    <w:p w:rsidR="006C2950" w:rsidRPr="0067766C" w:rsidRDefault="006C2950" w:rsidP="005D4F99">
      <w:pPr>
        <w:jc w:val="both"/>
        <w:rPr>
          <w:rFonts w:ascii="Arial" w:hAnsi="Arial" w:cs="Arial"/>
          <w:color w:val="000000" w:themeColor="text1"/>
          <w:highlight w:val="yellow"/>
        </w:rPr>
      </w:pPr>
    </w:p>
    <w:p w:rsidR="004B22B2" w:rsidRPr="0067766C" w:rsidRDefault="006C2950" w:rsidP="004B22B2">
      <w:pPr>
        <w:spacing w:line="240" w:lineRule="auto"/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Desde la Subred integrada Servicios de Salud Sur </w:t>
      </w:r>
      <w:r w:rsidR="004B22B2" w:rsidRPr="0067766C">
        <w:rPr>
          <w:rFonts w:ascii="Arial" w:hAnsi="Arial" w:cs="Arial"/>
          <w:color w:val="000000" w:themeColor="text1"/>
        </w:rPr>
        <w:t xml:space="preserve">se han emprendido diferentes acciones para atender las necesidades en salud de población históricamente discriminada </w:t>
      </w:r>
    </w:p>
    <w:p w:rsidR="004B22B2" w:rsidRPr="0067766C" w:rsidRDefault="004B22B2" w:rsidP="004B22B2">
      <w:pPr>
        <w:spacing w:line="240" w:lineRule="auto"/>
        <w:rPr>
          <w:rFonts w:ascii="Arial" w:hAnsi="Arial" w:cs="Arial"/>
          <w:color w:val="000000" w:themeColor="text1"/>
          <w:lang w:val="es-ES"/>
        </w:rPr>
      </w:pPr>
      <w:r w:rsidRPr="0067766C">
        <w:rPr>
          <w:rFonts w:ascii="Arial" w:hAnsi="Arial" w:cs="Arial"/>
          <w:color w:val="000000" w:themeColor="text1"/>
        </w:rPr>
        <w:t>De acuerdo a lo anterior se han realizado</w:t>
      </w:r>
      <w:r w:rsidR="00B0249C" w:rsidRPr="0067766C">
        <w:rPr>
          <w:rFonts w:ascii="Arial" w:hAnsi="Arial" w:cs="Arial"/>
          <w:color w:val="000000" w:themeColor="text1"/>
        </w:rPr>
        <w:t xml:space="preserve"> alianzas estrategias para a la atención a la población migrantes a través </w:t>
      </w:r>
      <w:r w:rsidRPr="0067766C">
        <w:rPr>
          <w:rFonts w:ascii="Arial" w:hAnsi="Arial" w:cs="Arial"/>
          <w:color w:val="000000" w:themeColor="text1"/>
        </w:rPr>
        <w:t xml:space="preserve">ONG como </w:t>
      </w:r>
      <w:r w:rsidR="00B0249C" w:rsidRPr="0067766C">
        <w:rPr>
          <w:rFonts w:ascii="Arial" w:hAnsi="Arial" w:cs="Arial"/>
          <w:color w:val="000000" w:themeColor="text1"/>
        </w:rPr>
        <w:t>OIM</w:t>
      </w:r>
      <w:r w:rsidRPr="0067766C">
        <w:rPr>
          <w:rFonts w:ascii="Arial" w:hAnsi="Arial" w:cs="Arial"/>
          <w:color w:val="000000" w:themeColor="text1"/>
        </w:rPr>
        <w:t xml:space="preserve"> (organización internacional para migrantes) que </w:t>
      </w:r>
      <w:r w:rsidRPr="0067766C">
        <w:rPr>
          <w:rFonts w:ascii="Arial" w:hAnsi="Arial" w:cs="Arial"/>
          <w:color w:val="000000" w:themeColor="text1"/>
          <w:lang w:val="es-ES"/>
        </w:rPr>
        <w:t xml:space="preserve">brinda apoyo a los migrantes en todo el mundo, desarrollando respuestas efectivas para la cambiante dinámica de la migración en cuanto a prácticas migratorias, con el fin de contribuir a la salud de la población migrante irregular de la Subred Integrada de Servicios de Salud Sur E.S.E </w:t>
      </w:r>
    </w:p>
    <w:p w:rsidR="004B22B2" w:rsidRPr="0067766C" w:rsidRDefault="004B22B2" w:rsidP="004B22B2">
      <w:pPr>
        <w:jc w:val="both"/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Con esta organización se firman órdenes de compra, en las cuales se tienen contratados o siguientes servicios: 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Medicina general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Enfermería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Odontología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Medicina Especializada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Toma de laboratorios</w:t>
      </w:r>
    </w:p>
    <w:p w:rsidR="004B22B2" w:rsidRPr="0067766C" w:rsidRDefault="004B22B2" w:rsidP="004B22B2">
      <w:pPr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Entrega de Medicamentos</w:t>
      </w:r>
    </w:p>
    <w:p w:rsidR="004B22B2" w:rsidRPr="0067766C" w:rsidRDefault="004B22B2" w:rsidP="004B22B2">
      <w:p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>Por otro lado, se realizan jornadas de salud a la población migrante irregular en la cuales se prestan los siguientes servicios:</w:t>
      </w:r>
    </w:p>
    <w:p w:rsidR="004B22B2" w:rsidRPr="0067766C" w:rsidRDefault="004B22B2" w:rsidP="004B22B2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 xml:space="preserve">Unidad Móvil con consultorio jurídico para la regularización </w:t>
      </w:r>
    </w:p>
    <w:p w:rsidR="004B22B2" w:rsidRPr="0067766C" w:rsidRDefault="004B22B2" w:rsidP="004B22B2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Toma de pruebas rápidas para VIH y Sífilis</w:t>
      </w:r>
    </w:p>
    <w:p w:rsidR="004B22B2" w:rsidRPr="0067766C" w:rsidRDefault="004B22B2" w:rsidP="004B22B2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Demanda Inducida a los servicios para los migrantes</w:t>
      </w:r>
    </w:p>
    <w:p w:rsidR="004B22B2" w:rsidRPr="0067766C" w:rsidRDefault="004B22B2" w:rsidP="004B22B2">
      <w:pPr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  <w:lang w:val="es-ES"/>
        </w:rPr>
        <w:t>Durante la ejecución de la orden de compra se realizaron las jornadas</w:t>
      </w:r>
    </w:p>
    <w:p w:rsidR="004B22B2" w:rsidRPr="0067766C" w:rsidRDefault="004B22B2" w:rsidP="004B22B2">
      <w:pPr>
        <w:rPr>
          <w:rFonts w:ascii="Arial" w:hAnsi="Arial" w:cs="Arial"/>
          <w:color w:val="000000" w:themeColor="text1"/>
        </w:rPr>
      </w:pPr>
    </w:p>
    <w:p w:rsidR="00C55A40" w:rsidRPr="0067766C" w:rsidRDefault="004B22B2" w:rsidP="00C55A40">
      <w:pPr>
        <w:rPr>
          <w:rFonts w:ascii="Arial" w:eastAsia="Times New Roman" w:hAnsi="Arial" w:cs="Arial"/>
          <w:color w:val="000000" w:themeColor="text1"/>
          <w:lang w:eastAsia="es-CO"/>
        </w:rPr>
      </w:pPr>
      <w:r w:rsidRPr="0067766C">
        <w:rPr>
          <w:rFonts w:ascii="Arial" w:hAnsi="Arial" w:cs="Arial"/>
          <w:color w:val="000000" w:themeColor="text1"/>
        </w:rPr>
        <w:t xml:space="preserve">Frente a los usuarios en </w:t>
      </w:r>
      <w:r w:rsidR="00C55A40" w:rsidRPr="0067766C">
        <w:rPr>
          <w:rFonts w:ascii="Arial" w:hAnsi="Arial" w:cs="Arial"/>
          <w:color w:val="000000" w:themeColor="text1"/>
        </w:rPr>
        <w:t>condición</w:t>
      </w:r>
      <w:r w:rsidRPr="0067766C">
        <w:rPr>
          <w:rFonts w:ascii="Arial" w:hAnsi="Arial" w:cs="Arial"/>
          <w:color w:val="000000" w:themeColor="text1"/>
        </w:rPr>
        <w:t xml:space="preserve"> de </w:t>
      </w:r>
      <w:r w:rsidR="00C55A40" w:rsidRPr="0067766C">
        <w:rPr>
          <w:rFonts w:ascii="Arial" w:hAnsi="Arial" w:cs="Arial"/>
          <w:color w:val="000000" w:themeColor="text1"/>
        </w:rPr>
        <w:t xml:space="preserve">discapacidad se realiza la </w:t>
      </w:r>
      <w:r w:rsidR="00C55A40" w:rsidRPr="0067766C">
        <w:rPr>
          <w:rFonts w:ascii="Arial" w:eastAsia="Times New Roman" w:hAnsi="Arial" w:cs="Arial"/>
          <w:b/>
          <w:bCs/>
          <w:color w:val="000000" w:themeColor="text1"/>
          <w:lang w:eastAsia="es-CO"/>
        </w:rPr>
        <w:t>certificación</w:t>
      </w:r>
      <w:r w:rsidR="0080314F" w:rsidRPr="0067766C">
        <w:rPr>
          <w:rFonts w:ascii="Arial" w:eastAsia="Times New Roman" w:hAnsi="Arial" w:cs="Arial"/>
          <w:b/>
          <w:bCs/>
          <w:color w:val="000000" w:themeColor="text1"/>
          <w:lang w:eastAsia="es-CO"/>
        </w:rPr>
        <w:t xml:space="preserve"> de discapacidad y el Registro de Localización y </w:t>
      </w:r>
      <w:r w:rsidR="003B1495" w:rsidRPr="0067766C">
        <w:rPr>
          <w:rFonts w:ascii="Arial" w:eastAsia="Times New Roman" w:hAnsi="Arial" w:cs="Arial"/>
          <w:b/>
          <w:bCs/>
          <w:color w:val="000000" w:themeColor="text1"/>
          <w:lang w:eastAsia="es-CO"/>
        </w:rPr>
        <w:t xml:space="preserve">Caracterización </w:t>
      </w:r>
      <w:r w:rsidR="003B1495" w:rsidRPr="0067766C">
        <w:rPr>
          <w:rFonts w:ascii="Arial" w:eastAsia="Times New Roman" w:hAnsi="Arial" w:cs="Arial"/>
          <w:color w:val="000000" w:themeColor="text1"/>
          <w:lang w:eastAsia="es-CO"/>
        </w:rPr>
        <w:t>en</w:t>
      </w:r>
      <w:r w:rsidR="00C55A40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la cual se </w:t>
      </w:r>
      <w:r w:rsidR="0080314F" w:rsidRPr="0067766C">
        <w:rPr>
          <w:rFonts w:ascii="Arial" w:eastAsia="Times New Roman" w:hAnsi="Arial" w:cs="Arial"/>
          <w:color w:val="000000" w:themeColor="text1"/>
          <w:lang w:eastAsia="es-CO"/>
        </w:rPr>
        <w:t>realiza</w:t>
      </w:r>
      <w:r w:rsidR="00C55A40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</w:t>
      </w:r>
      <w:r w:rsidR="0080314F" w:rsidRPr="0067766C">
        <w:rPr>
          <w:rFonts w:ascii="Arial" w:eastAsia="Times New Roman" w:hAnsi="Arial" w:cs="Arial"/>
          <w:color w:val="000000" w:themeColor="text1"/>
          <w:lang w:eastAsia="es-CO"/>
        </w:rPr>
        <w:t>la valoración</w:t>
      </w:r>
      <w:r w:rsidR="0050070E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</w:t>
      </w:r>
      <w:proofErr w:type="gramStart"/>
      <w:r w:rsidR="0050070E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integral </w:t>
      </w:r>
      <w:r w:rsidR="00C55A40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por</w:t>
      </w:r>
      <w:proofErr w:type="gramEnd"/>
      <w:r w:rsidR="00C55A40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un equipo multidisciplinario </w:t>
      </w:r>
      <w:r w:rsidR="0080314F" w:rsidRPr="0067766C">
        <w:rPr>
          <w:rFonts w:ascii="Arial" w:eastAsia="Times New Roman" w:hAnsi="Arial" w:cs="Arial"/>
          <w:color w:val="000000" w:themeColor="text1"/>
          <w:lang w:eastAsia="es-CO"/>
        </w:rPr>
        <w:t>par</w:t>
      </w:r>
      <w:r w:rsidR="00C55A40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a </w:t>
      </w:r>
      <w:r w:rsidR="0050070E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la generación del  certificación de </w:t>
      </w:r>
      <w:r w:rsidR="0080314F"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personas con discapacidad. </w:t>
      </w:r>
    </w:p>
    <w:p w:rsidR="0080314F" w:rsidRPr="0067766C" w:rsidRDefault="0050070E" w:rsidP="0050070E">
      <w:pPr>
        <w:rPr>
          <w:rFonts w:ascii="Arial" w:hAnsi="Arial" w:cs="Arial"/>
          <w:color w:val="000000" w:themeColor="text1"/>
        </w:rPr>
      </w:pPr>
      <w:r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Adicional a este se </w:t>
      </w:r>
      <w:proofErr w:type="spellStart"/>
      <w:r w:rsidRPr="0067766C">
        <w:rPr>
          <w:rFonts w:ascii="Arial" w:eastAsia="Times New Roman" w:hAnsi="Arial" w:cs="Arial"/>
          <w:color w:val="000000" w:themeColor="text1"/>
          <w:lang w:eastAsia="es-CO"/>
        </w:rPr>
        <w:t>realzia</w:t>
      </w:r>
      <w:proofErr w:type="spellEnd"/>
      <w:r w:rsidRPr="0067766C">
        <w:rPr>
          <w:rFonts w:ascii="Arial" w:eastAsia="Times New Roman" w:hAnsi="Arial" w:cs="Arial"/>
          <w:color w:val="000000" w:themeColor="text1"/>
          <w:lang w:eastAsia="es-CO"/>
        </w:rPr>
        <w:t xml:space="preserve"> e</w:t>
      </w:r>
      <w:r w:rsidR="0080314F" w:rsidRPr="0067766C">
        <w:rPr>
          <w:rFonts w:ascii="Arial" w:eastAsia="Times New Roman" w:hAnsi="Arial" w:cs="Arial"/>
          <w:color w:val="000000" w:themeColor="text1"/>
          <w:lang w:val="es-ES" w:eastAsia="es-CO"/>
        </w:rPr>
        <w:t>l Registro de Localización y Caracterización de Personas con Discapacidad -</w:t>
      </w:r>
      <w:r w:rsidR="0080314F" w:rsidRPr="0067766C">
        <w:rPr>
          <w:rFonts w:ascii="Arial" w:eastAsia="Times New Roman" w:hAnsi="Arial" w:cs="Arial"/>
          <w:b/>
          <w:bCs/>
          <w:color w:val="000000" w:themeColor="text1"/>
          <w:lang w:val="es-ES" w:eastAsia="es-CO"/>
        </w:rPr>
        <w:t>RLCPD</w:t>
      </w:r>
      <w:r w:rsidR="0080314F" w:rsidRPr="0067766C">
        <w:rPr>
          <w:rFonts w:ascii="Arial" w:eastAsia="Times New Roman" w:hAnsi="Arial" w:cs="Arial"/>
          <w:color w:val="000000" w:themeColor="text1"/>
          <w:lang w:val="es-ES" w:eastAsia="es-CO"/>
        </w:rPr>
        <w:t>-</w:t>
      </w:r>
      <w:proofErr w:type="gramStart"/>
      <w:r w:rsidR="0080314F" w:rsidRPr="0067766C">
        <w:rPr>
          <w:rFonts w:ascii="Arial" w:eastAsia="Times New Roman" w:hAnsi="Arial" w:cs="Arial"/>
          <w:color w:val="000000" w:themeColor="text1"/>
          <w:lang w:val="es-ES" w:eastAsia="es-CO"/>
        </w:rPr>
        <w:t>,  como</w:t>
      </w:r>
      <w:proofErr w:type="gramEnd"/>
      <w:r w:rsidR="0080314F" w:rsidRPr="0067766C">
        <w:rPr>
          <w:rFonts w:ascii="Arial" w:eastAsia="Times New Roman" w:hAnsi="Arial" w:cs="Arial"/>
          <w:color w:val="000000" w:themeColor="text1"/>
          <w:lang w:val="es-ES" w:eastAsia="es-CO"/>
        </w:rPr>
        <w:t xml:space="preserve"> mecanismo para localizar, caracterizar y certificar a las personas con discapacidad.  Para efectos de la valoración multidisciplinaria y del registro de la información</w:t>
      </w:r>
      <w:r w:rsidR="0080314F" w:rsidRPr="0067766C">
        <w:rPr>
          <w:rFonts w:ascii="Arial" w:hAnsi="Arial" w:cs="Arial"/>
          <w:color w:val="000000" w:themeColor="text1"/>
        </w:rPr>
        <w:t xml:space="preserve"> </w:t>
      </w:r>
    </w:p>
    <w:p w:rsidR="00D82E33" w:rsidRPr="0067766C" w:rsidRDefault="0050070E" w:rsidP="0050070E">
      <w:p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Para la </w:t>
      </w:r>
      <w:r w:rsidR="00D82E33" w:rsidRPr="0067766C">
        <w:rPr>
          <w:rFonts w:ascii="Arial" w:hAnsi="Arial" w:cs="Arial"/>
          <w:color w:val="000000" w:themeColor="text1"/>
        </w:rPr>
        <w:t>atención</w:t>
      </w:r>
      <w:r w:rsidR="00241B34" w:rsidRPr="0067766C">
        <w:rPr>
          <w:rFonts w:ascii="Arial" w:hAnsi="Arial" w:cs="Arial"/>
          <w:color w:val="000000" w:themeColor="text1"/>
        </w:rPr>
        <w:t xml:space="preserve"> </w:t>
      </w:r>
      <w:proofErr w:type="gramStart"/>
      <w:r w:rsidRPr="0067766C">
        <w:rPr>
          <w:rFonts w:ascii="Arial" w:hAnsi="Arial" w:cs="Arial"/>
          <w:color w:val="000000" w:themeColor="text1"/>
        </w:rPr>
        <w:t>de  los</w:t>
      </w:r>
      <w:proofErr w:type="gramEnd"/>
      <w:r w:rsidRPr="0067766C">
        <w:rPr>
          <w:rFonts w:ascii="Arial" w:hAnsi="Arial" w:cs="Arial"/>
          <w:color w:val="000000" w:themeColor="text1"/>
        </w:rPr>
        <w:t xml:space="preserve"> </w:t>
      </w:r>
      <w:r w:rsidR="0080314F" w:rsidRPr="0067766C">
        <w:rPr>
          <w:rFonts w:ascii="Arial" w:hAnsi="Arial" w:cs="Arial"/>
          <w:color w:val="000000" w:themeColor="text1"/>
        </w:rPr>
        <w:t xml:space="preserve"> usuarios </w:t>
      </w:r>
      <w:r w:rsidRPr="0067766C">
        <w:rPr>
          <w:rFonts w:ascii="Arial" w:hAnsi="Arial" w:cs="Arial"/>
          <w:color w:val="000000" w:themeColor="text1"/>
        </w:rPr>
        <w:t xml:space="preserve">se cuenta </w:t>
      </w:r>
      <w:r w:rsidR="00241B34" w:rsidRPr="0067766C">
        <w:rPr>
          <w:rFonts w:ascii="Arial" w:hAnsi="Arial" w:cs="Arial"/>
          <w:color w:val="000000" w:themeColor="text1"/>
        </w:rPr>
        <w:t xml:space="preserve">con </w:t>
      </w:r>
      <w:r w:rsidRPr="0067766C">
        <w:rPr>
          <w:rFonts w:ascii="Arial" w:hAnsi="Arial" w:cs="Arial"/>
          <w:color w:val="000000" w:themeColor="text1"/>
        </w:rPr>
        <w:t>centros de atención en la</w:t>
      </w:r>
      <w:r w:rsidR="000976D7" w:rsidRPr="0067766C">
        <w:rPr>
          <w:rFonts w:ascii="Arial" w:hAnsi="Arial" w:cs="Arial"/>
          <w:color w:val="000000" w:themeColor="text1"/>
        </w:rPr>
        <w:t xml:space="preserve">s 4 </w:t>
      </w:r>
      <w:r w:rsidRPr="0067766C">
        <w:rPr>
          <w:rFonts w:ascii="Arial" w:hAnsi="Arial" w:cs="Arial"/>
          <w:color w:val="000000" w:themeColor="text1"/>
        </w:rPr>
        <w:t>localidad</w:t>
      </w:r>
      <w:r w:rsidR="000976D7" w:rsidRPr="0067766C">
        <w:rPr>
          <w:rFonts w:ascii="Arial" w:hAnsi="Arial" w:cs="Arial"/>
          <w:color w:val="000000" w:themeColor="text1"/>
        </w:rPr>
        <w:t xml:space="preserve">es: en la localidad </w:t>
      </w:r>
      <w:r w:rsidRPr="0067766C">
        <w:rPr>
          <w:rFonts w:ascii="Arial" w:hAnsi="Arial" w:cs="Arial"/>
          <w:color w:val="000000" w:themeColor="text1"/>
        </w:rPr>
        <w:t xml:space="preserve"> de </w:t>
      </w:r>
      <w:r w:rsidR="00D82E33" w:rsidRPr="0067766C">
        <w:rPr>
          <w:rFonts w:ascii="Arial" w:hAnsi="Arial" w:cs="Arial"/>
          <w:color w:val="000000" w:themeColor="text1"/>
        </w:rPr>
        <w:t>Tunjuelito</w:t>
      </w:r>
      <w:r w:rsidRPr="0067766C">
        <w:rPr>
          <w:rFonts w:ascii="Arial" w:hAnsi="Arial" w:cs="Arial"/>
          <w:color w:val="000000" w:themeColor="text1"/>
        </w:rPr>
        <w:t xml:space="preserve"> el CDS </w:t>
      </w:r>
      <w:r w:rsidR="0080314F" w:rsidRPr="0067766C">
        <w:rPr>
          <w:rFonts w:ascii="Arial" w:hAnsi="Arial" w:cs="Arial"/>
          <w:color w:val="000000" w:themeColor="text1"/>
        </w:rPr>
        <w:t xml:space="preserve">Carmen </w:t>
      </w:r>
      <w:r w:rsidRPr="0067766C">
        <w:rPr>
          <w:rFonts w:ascii="Arial" w:hAnsi="Arial" w:cs="Arial"/>
          <w:color w:val="000000" w:themeColor="text1"/>
        </w:rPr>
        <w:t xml:space="preserve">, En la </w:t>
      </w:r>
      <w:r w:rsidR="00D82E33" w:rsidRPr="0067766C">
        <w:rPr>
          <w:rFonts w:ascii="Arial" w:hAnsi="Arial" w:cs="Arial"/>
          <w:color w:val="000000" w:themeColor="text1"/>
        </w:rPr>
        <w:t>localidad</w:t>
      </w:r>
      <w:r w:rsidRPr="0067766C">
        <w:rPr>
          <w:rFonts w:ascii="Arial" w:hAnsi="Arial" w:cs="Arial"/>
          <w:color w:val="000000" w:themeColor="text1"/>
        </w:rPr>
        <w:t xml:space="preserve"> de Usme el CDS</w:t>
      </w:r>
      <w:r w:rsidR="00241B34" w:rsidRPr="0067766C">
        <w:rPr>
          <w:rFonts w:ascii="Arial" w:hAnsi="Arial" w:cs="Arial"/>
          <w:color w:val="000000" w:themeColor="text1"/>
        </w:rPr>
        <w:t xml:space="preserve"> Betania</w:t>
      </w:r>
      <w:r w:rsidRPr="0067766C">
        <w:rPr>
          <w:rFonts w:ascii="Arial" w:hAnsi="Arial" w:cs="Arial"/>
          <w:color w:val="000000" w:themeColor="text1"/>
        </w:rPr>
        <w:t xml:space="preserve"> , en la </w:t>
      </w:r>
      <w:r w:rsidR="00D82E33" w:rsidRPr="0067766C">
        <w:rPr>
          <w:rFonts w:ascii="Arial" w:hAnsi="Arial" w:cs="Arial"/>
          <w:color w:val="000000" w:themeColor="text1"/>
        </w:rPr>
        <w:t>localidad</w:t>
      </w:r>
      <w:r w:rsidRPr="0067766C">
        <w:rPr>
          <w:rFonts w:ascii="Arial" w:hAnsi="Arial" w:cs="Arial"/>
          <w:color w:val="000000" w:themeColor="text1"/>
        </w:rPr>
        <w:t xml:space="preserve"> de Ciudad </w:t>
      </w:r>
      <w:r w:rsidR="00D82E33" w:rsidRPr="0067766C">
        <w:rPr>
          <w:rFonts w:ascii="Arial" w:hAnsi="Arial" w:cs="Arial"/>
          <w:color w:val="000000" w:themeColor="text1"/>
        </w:rPr>
        <w:t>Bolívar</w:t>
      </w:r>
      <w:r w:rsidR="000976D7" w:rsidRPr="0067766C">
        <w:rPr>
          <w:rFonts w:ascii="Arial" w:hAnsi="Arial" w:cs="Arial"/>
          <w:color w:val="000000" w:themeColor="text1"/>
        </w:rPr>
        <w:t xml:space="preserve"> el CDS Candelaria </w:t>
      </w:r>
      <w:r w:rsidR="0080314F" w:rsidRPr="0067766C">
        <w:rPr>
          <w:rFonts w:ascii="Arial" w:hAnsi="Arial" w:cs="Arial"/>
          <w:color w:val="000000" w:themeColor="text1"/>
        </w:rPr>
        <w:t xml:space="preserve"> </w:t>
      </w:r>
      <w:r w:rsidR="00241B34" w:rsidRPr="0067766C">
        <w:rPr>
          <w:rFonts w:ascii="Arial" w:hAnsi="Arial" w:cs="Arial"/>
          <w:color w:val="000000" w:themeColor="text1"/>
        </w:rPr>
        <w:t xml:space="preserve">y para la </w:t>
      </w:r>
      <w:r w:rsidR="00D82E33" w:rsidRPr="0067766C">
        <w:rPr>
          <w:rFonts w:ascii="Arial" w:hAnsi="Arial" w:cs="Arial"/>
          <w:color w:val="000000" w:themeColor="text1"/>
        </w:rPr>
        <w:t>localidad</w:t>
      </w:r>
      <w:r w:rsidR="00241B34" w:rsidRPr="0067766C">
        <w:rPr>
          <w:rFonts w:ascii="Arial" w:hAnsi="Arial" w:cs="Arial"/>
          <w:color w:val="000000" w:themeColor="text1"/>
        </w:rPr>
        <w:t xml:space="preserve"> de </w:t>
      </w:r>
      <w:r w:rsidR="00D82E33" w:rsidRPr="0067766C">
        <w:rPr>
          <w:rFonts w:ascii="Arial" w:hAnsi="Arial" w:cs="Arial"/>
          <w:color w:val="000000" w:themeColor="text1"/>
        </w:rPr>
        <w:t>Sumapaz</w:t>
      </w:r>
      <w:r w:rsidR="00241B34" w:rsidRPr="0067766C">
        <w:rPr>
          <w:rFonts w:ascii="Arial" w:hAnsi="Arial" w:cs="Arial"/>
          <w:color w:val="000000" w:themeColor="text1"/>
        </w:rPr>
        <w:t xml:space="preserve"> la unida</w:t>
      </w:r>
      <w:r w:rsidR="000976D7" w:rsidRPr="0067766C">
        <w:rPr>
          <w:rFonts w:ascii="Arial" w:hAnsi="Arial" w:cs="Arial"/>
          <w:color w:val="000000" w:themeColor="text1"/>
        </w:rPr>
        <w:t>d</w:t>
      </w:r>
      <w:r w:rsidR="00241B34" w:rsidRPr="0067766C">
        <w:rPr>
          <w:rFonts w:ascii="Arial" w:hAnsi="Arial" w:cs="Arial"/>
          <w:color w:val="000000" w:themeColor="text1"/>
        </w:rPr>
        <w:t xml:space="preserve"> de Nazareth unidades donde se realizan la</w:t>
      </w:r>
      <w:r w:rsidR="000976D7" w:rsidRPr="0067766C">
        <w:rPr>
          <w:rFonts w:ascii="Arial" w:hAnsi="Arial" w:cs="Arial"/>
          <w:color w:val="000000" w:themeColor="text1"/>
        </w:rPr>
        <w:t>s</w:t>
      </w:r>
      <w:r w:rsidR="00241B34" w:rsidRPr="0067766C">
        <w:rPr>
          <w:rFonts w:ascii="Arial" w:hAnsi="Arial" w:cs="Arial"/>
          <w:color w:val="000000" w:themeColor="text1"/>
        </w:rPr>
        <w:t xml:space="preserve"> atenciones </w:t>
      </w:r>
      <w:r w:rsidR="0080314F" w:rsidRPr="0067766C">
        <w:rPr>
          <w:rFonts w:ascii="Arial" w:hAnsi="Arial" w:cs="Arial"/>
          <w:color w:val="000000" w:themeColor="text1"/>
        </w:rPr>
        <w:t>según requerimiento de autorizaciones</w:t>
      </w:r>
      <w:r w:rsidR="000976D7" w:rsidRPr="0067766C">
        <w:rPr>
          <w:rFonts w:ascii="Arial" w:hAnsi="Arial" w:cs="Arial"/>
          <w:color w:val="000000" w:themeColor="text1"/>
        </w:rPr>
        <w:t xml:space="preserve"> ante la SDS.</w:t>
      </w:r>
    </w:p>
    <w:p w:rsidR="0080314F" w:rsidRPr="0067766C" w:rsidRDefault="000976D7" w:rsidP="0050070E">
      <w:pPr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>La</w:t>
      </w:r>
      <w:r w:rsidR="0080314F" w:rsidRPr="0067766C">
        <w:rPr>
          <w:rFonts w:ascii="Arial" w:hAnsi="Arial" w:cs="Arial"/>
          <w:color w:val="000000" w:themeColor="text1"/>
        </w:rPr>
        <w:t xml:space="preserve"> caracterización y localización de personas con discapacidad permit</w:t>
      </w:r>
      <w:r w:rsidRPr="0067766C">
        <w:rPr>
          <w:rFonts w:ascii="Arial" w:hAnsi="Arial" w:cs="Arial"/>
          <w:color w:val="000000" w:themeColor="text1"/>
        </w:rPr>
        <w:t>e</w:t>
      </w:r>
      <w:r w:rsidR="0080314F" w:rsidRPr="0067766C">
        <w:rPr>
          <w:rFonts w:ascii="Arial" w:hAnsi="Arial" w:cs="Arial"/>
          <w:color w:val="000000" w:themeColor="text1"/>
        </w:rPr>
        <w:t xml:space="preserve"> orientar y re direccionar a los usuarios a programas sociales y oferta institucional local y distrital, citando la página de internet tu oferta Bogotá. Con el link para la generación de canalización y re direccionamiento de usuarios para apoyo económico, de educación y sobre todo en direccionamiento para solicitud de dispositivos de asistencia personal, se fortaleció la activación de la ruta institucional por medio de la socialización y canalización de manera permanente. La oportunidad de la Subred alcanzo inmediatamente el año anterior un 100% de efectividad</w:t>
      </w:r>
      <w:r w:rsidRPr="0067766C">
        <w:rPr>
          <w:rFonts w:ascii="Arial" w:hAnsi="Arial" w:cs="Arial"/>
          <w:color w:val="000000" w:themeColor="text1"/>
        </w:rPr>
        <w:t xml:space="preserve"> en las atenciones.</w:t>
      </w:r>
    </w:p>
    <w:p w:rsidR="00C22FC4" w:rsidRPr="0067766C" w:rsidRDefault="00C22FC4" w:rsidP="003B1495">
      <w:pPr>
        <w:jc w:val="both"/>
        <w:rPr>
          <w:rFonts w:ascii="Arial" w:hAnsi="Arial" w:cs="Arial"/>
          <w:color w:val="000000" w:themeColor="text1"/>
        </w:rPr>
      </w:pPr>
      <w:r w:rsidRPr="0067766C">
        <w:rPr>
          <w:rFonts w:ascii="Arial" w:hAnsi="Arial" w:cs="Arial"/>
          <w:color w:val="000000" w:themeColor="text1"/>
        </w:rPr>
        <w:t xml:space="preserve">Es importante </w:t>
      </w:r>
      <w:r w:rsidR="00C01810" w:rsidRPr="0067766C">
        <w:rPr>
          <w:rFonts w:ascii="Arial" w:hAnsi="Arial" w:cs="Arial"/>
          <w:color w:val="000000" w:themeColor="text1"/>
        </w:rPr>
        <w:t xml:space="preserve">contextualizar </w:t>
      </w:r>
      <w:proofErr w:type="gramStart"/>
      <w:r w:rsidR="00C01810" w:rsidRPr="0067766C">
        <w:rPr>
          <w:rFonts w:ascii="Arial" w:hAnsi="Arial" w:cs="Arial"/>
          <w:color w:val="000000" w:themeColor="text1"/>
        </w:rPr>
        <w:t>q</w:t>
      </w:r>
      <w:r w:rsidR="00D30E62" w:rsidRPr="0067766C">
        <w:rPr>
          <w:rFonts w:ascii="Arial" w:hAnsi="Arial" w:cs="Arial"/>
          <w:color w:val="000000" w:themeColor="text1"/>
        </w:rPr>
        <w:t xml:space="preserve">ue </w:t>
      </w:r>
      <w:r w:rsidRPr="0067766C">
        <w:rPr>
          <w:rFonts w:ascii="Arial" w:hAnsi="Arial" w:cs="Arial"/>
          <w:color w:val="000000" w:themeColor="text1"/>
        </w:rPr>
        <w:t xml:space="preserve"> se</w:t>
      </w:r>
      <w:proofErr w:type="gramEnd"/>
      <w:r w:rsidRPr="0067766C">
        <w:rPr>
          <w:rFonts w:ascii="Arial" w:hAnsi="Arial" w:cs="Arial"/>
          <w:color w:val="000000" w:themeColor="text1"/>
        </w:rPr>
        <w:t xml:space="preserve"> cuenta con una h</w:t>
      </w:r>
      <w:r w:rsidR="00C01810" w:rsidRPr="0067766C">
        <w:rPr>
          <w:rFonts w:ascii="Arial" w:hAnsi="Arial" w:cs="Arial"/>
          <w:color w:val="000000" w:themeColor="text1"/>
        </w:rPr>
        <w:t>istoria clínica</w:t>
      </w:r>
      <w:r w:rsidR="00D30E62" w:rsidRPr="0067766C">
        <w:rPr>
          <w:rFonts w:ascii="Arial" w:hAnsi="Arial" w:cs="Arial"/>
          <w:color w:val="000000" w:themeColor="text1"/>
        </w:rPr>
        <w:t xml:space="preserve"> con enfoque diferencial</w:t>
      </w:r>
      <w:r w:rsidR="00C01810" w:rsidRPr="0067766C">
        <w:rPr>
          <w:rFonts w:ascii="Arial" w:hAnsi="Arial" w:cs="Arial"/>
          <w:color w:val="000000" w:themeColor="text1"/>
        </w:rPr>
        <w:t xml:space="preserve"> en donde se identifica</w:t>
      </w:r>
      <w:r w:rsidR="003B1495" w:rsidRPr="0067766C">
        <w:rPr>
          <w:rFonts w:ascii="Arial" w:hAnsi="Arial" w:cs="Arial"/>
          <w:color w:val="000000" w:themeColor="text1"/>
        </w:rPr>
        <w:t xml:space="preserve"> tipos de </w:t>
      </w:r>
      <w:r w:rsidR="00446F3F" w:rsidRPr="0067766C">
        <w:rPr>
          <w:rFonts w:ascii="Arial" w:hAnsi="Arial" w:cs="Arial"/>
          <w:color w:val="000000" w:themeColor="text1"/>
        </w:rPr>
        <w:t>discapacidad (Física, visual, auditiva, cognitiva, mental, sordo-ceguera y múltiple</w:t>
      </w:r>
      <w:r w:rsidR="00D30E62" w:rsidRPr="0067766C">
        <w:rPr>
          <w:rFonts w:ascii="Arial" w:hAnsi="Arial" w:cs="Arial"/>
          <w:color w:val="000000" w:themeColor="text1"/>
        </w:rPr>
        <w:t>),</w:t>
      </w:r>
      <w:r w:rsidR="003B1495" w:rsidRPr="0067766C">
        <w:rPr>
          <w:rFonts w:ascii="Arial" w:hAnsi="Arial" w:cs="Arial"/>
          <w:color w:val="000000" w:themeColor="text1"/>
        </w:rPr>
        <w:t xml:space="preserve"> </w:t>
      </w:r>
      <w:r w:rsidR="00446F3F" w:rsidRPr="0067766C">
        <w:rPr>
          <w:rFonts w:ascii="Arial" w:hAnsi="Arial" w:cs="Arial"/>
          <w:color w:val="000000" w:themeColor="text1"/>
        </w:rPr>
        <w:t xml:space="preserve">pertenencia Étnica (Indígena, Afro, Room Gitana, Raizal Palenquera) </w:t>
      </w:r>
      <w:r w:rsidR="003B1495" w:rsidRPr="0067766C">
        <w:rPr>
          <w:rFonts w:ascii="Arial" w:hAnsi="Arial" w:cs="Arial"/>
          <w:color w:val="000000" w:themeColor="text1"/>
        </w:rPr>
        <w:t xml:space="preserve">y </w:t>
      </w:r>
      <w:r w:rsidR="00D30E62" w:rsidRPr="0067766C">
        <w:rPr>
          <w:rFonts w:ascii="Arial" w:hAnsi="Arial" w:cs="Arial"/>
          <w:color w:val="000000" w:themeColor="text1"/>
        </w:rPr>
        <w:t>necesidades</w:t>
      </w:r>
      <w:r w:rsidR="003B1495" w:rsidRPr="0067766C">
        <w:rPr>
          <w:rFonts w:ascii="Arial" w:hAnsi="Arial" w:cs="Arial"/>
          <w:color w:val="000000" w:themeColor="text1"/>
        </w:rPr>
        <w:t xml:space="preserve"> del </w:t>
      </w:r>
      <w:r w:rsidR="00D30E62" w:rsidRPr="0067766C">
        <w:rPr>
          <w:rFonts w:ascii="Arial" w:hAnsi="Arial" w:cs="Arial"/>
          <w:color w:val="000000" w:themeColor="text1"/>
        </w:rPr>
        <w:t>usuario</w:t>
      </w:r>
      <w:r w:rsidR="003B1495" w:rsidRPr="0067766C">
        <w:rPr>
          <w:rFonts w:ascii="Arial" w:hAnsi="Arial" w:cs="Arial"/>
          <w:color w:val="000000" w:themeColor="text1"/>
        </w:rPr>
        <w:t xml:space="preserve"> en salud </w:t>
      </w:r>
      <w:r w:rsidR="00D30E62" w:rsidRPr="0067766C">
        <w:rPr>
          <w:rFonts w:ascii="Arial" w:hAnsi="Arial" w:cs="Arial"/>
          <w:color w:val="000000" w:themeColor="text1"/>
        </w:rPr>
        <w:t>mental,</w:t>
      </w:r>
      <w:r w:rsidR="003B1495" w:rsidRPr="0067766C">
        <w:rPr>
          <w:rFonts w:ascii="Arial" w:hAnsi="Arial" w:cs="Arial"/>
          <w:color w:val="000000" w:themeColor="text1"/>
        </w:rPr>
        <w:t xml:space="preserve"> salud oral</w:t>
      </w:r>
      <w:r w:rsidR="00D30E62" w:rsidRPr="0067766C">
        <w:rPr>
          <w:rFonts w:ascii="Arial" w:hAnsi="Arial" w:cs="Arial"/>
          <w:color w:val="000000" w:themeColor="text1"/>
        </w:rPr>
        <w:t xml:space="preserve">, </w:t>
      </w:r>
      <w:r w:rsidR="003B1495" w:rsidRPr="0067766C">
        <w:rPr>
          <w:rFonts w:ascii="Arial" w:hAnsi="Arial" w:cs="Arial"/>
          <w:color w:val="000000" w:themeColor="text1"/>
        </w:rPr>
        <w:t xml:space="preserve"> actividades físicas y estilos de vida saludable</w:t>
      </w:r>
      <w:r w:rsidR="00D30E62" w:rsidRPr="0067766C">
        <w:rPr>
          <w:rFonts w:ascii="Arial" w:hAnsi="Arial" w:cs="Arial"/>
          <w:color w:val="000000" w:themeColor="text1"/>
        </w:rPr>
        <w:t xml:space="preserve"> , información valiosa en la generación de estrategias en la </w:t>
      </w:r>
      <w:r w:rsidR="0016709B" w:rsidRPr="0067766C">
        <w:rPr>
          <w:rFonts w:ascii="Arial" w:hAnsi="Arial" w:cs="Arial"/>
          <w:color w:val="000000" w:themeColor="text1"/>
        </w:rPr>
        <w:t>atención</w:t>
      </w:r>
      <w:r w:rsidR="00D30E62" w:rsidRPr="0067766C">
        <w:rPr>
          <w:rFonts w:ascii="Arial" w:hAnsi="Arial" w:cs="Arial"/>
          <w:color w:val="000000" w:themeColor="text1"/>
        </w:rPr>
        <w:t xml:space="preserve"> de los usuarios.</w:t>
      </w:r>
    </w:p>
    <w:p w:rsidR="00D30E62" w:rsidRPr="0067766C" w:rsidRDefault="00D30E62" w:rsidP="003B1495">
      <w:pPr>
        <w:jc w:val="both"/>
        <w:rPr>
          <w:rFonts w:ascii="Arial" w:hAnsi="Arial" w:cs="Arial"/>
          <w:color w:val="000000" w:themeColor="text1"/>
        </w:rPr>
      </w:pPr>
    </w:p>
    <w:p w:rsidR="0080314F" w:rsidRPr="0067766C" w:rsidRDefault="0080314F" w:rsidP="005D4F99">
      <w:pPr>
        <w:jc w:val="both"/>
        <w:rPr>
          <w:rFonts w:ascii="Arial" w:hAnsi="Arial" w:cs="Arial"/>
          <w:color w:val="000000" w:themeColor="text1"/>
        </w:rPr>
      </w:pPr>
    </w:p>
    <w:bookmarkEnd w:id="0"/>
    <w:p w:rsidR="0080314F" w:rsidRPr="0067766C" w:rsidRDefault="0080314F" w:rsidP="005D4F99">
      <w:pPr>
        <w:jc w:val="both"/>
        <w:rPr>
          <w:rFonts w:ascii="Arial" w:hAnsi="Arial" w:cs="Arial"/>
          <w:color w:val="000000" w:themeColor="text1"/>
        </w:rPr>
      </w:pPr>
    </w:p>
    <w:sectPr w:rsidR="0080314F" w:rsidRPr="006776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A5D39"/>
    <w:multiLevelType w:val="hybridMultilevel"/>
    <w:tmpl w:val="25C0B3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1077"/>
    <w:multiLevelType w:val="hybridMultilevel"/>
    <w:tmpl w:val="B90C71A4"/>
    <w:lvl w:ilvl="0" w:tplc="3542A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81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C8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26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09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40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280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78C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88C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414D07"/>
    <w:multiLevelType w:val="hybridMultilevel"/>
    <w:tmpl w:val="F01019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47940"/>
    <w:multiLevelType w:val="hybridMultilevel"/>
    <w:tmpl w:val="DFC88FF2"/>
    <w:lvl w:ilvl="0" w:tplc="AC2CC4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50E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E8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09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E47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C3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4C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5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8B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85"/>
    <w:rsid w:val="000976D7"/>
    <w:rsid w:val="000B3A19"/>
    <w:rsid w:val="00130522"/>
    <w:rsid w:val="0016709B"/>
    <w:rsid w:val="001776BD"/>
    <w:rsid w:val="0021776E"/>
    <w:rsid w:val="002273BC"/>
    <w:rsid w:val="00241B34"/>
    <w:rsid w:val="00277DB9"/>
    <w:rsid w:val="003B1495"/>
    <w:rsid w:val="00445FFA"/>
    <w:rsid w:val="00446F3F"/>
    <w:rsid w:val="004B22B2"/>
    <w:rsid w:val="0050070E"/>
    <w:rsid w:val="00510087"/>
    <w:rsid w:val="005D4F99"/>
    <w:rsid w:val="006078AE"/>
    <w:rsid w:val="0067766C"/>
    <w:rsid w:val="00694C97"/>
    <w:rsid w:val="006C2950"/>
    <w:rsid w:val="006F1821"/>
    <w:rsid w:val="00797032"/>
    <w:rsid w:val="007C57C0"/>
    <w:rsid w:val="007C5F45"/>
    <w:rsid w:val="0080314F"/>
    <w:rsid w:val="00837055"/>
    <w:rsid w:val="00A824F9"/>
    <w:rsid w:val="00A962ED"/>
    <w:rsid w:val="00B0249C"/>
    <w:rsid w:val="00B96685"/>
    <w:rsid w:val="00BA43FC"/>
    <w:rsid w:val="00BF597A"/>
    <w:rsid w:val="00C01810"/>
    <w:rsid w:val="00C22FC4"/>
    <w:rsid w:val="00C55A40"/>
    <w:rsid w:val="00C572BC"/>
    <w:rsid w:val="00D17200"/>
    <w:rsid w:val="00D30E62"/>
    <w:rsid w:val="00D82E33"/>
    <w:rsid w:val="00DB19DF"/>
    <w:rsid w:val="00E7472A"/>
    <w:rsid w:val="00F557C4"/>
    <w:rsid w:val="00F7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FF429-9A51-4ED7-8150-ADD01155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A,Ha,Resume Title,Bullet List,FooterText,numbered,List Paragraph1,Paragraphe de liste1,lp1,HOJA,Colorful List Accent 1,Colorful List - Accent 11,titulo 3,Párrafo de lista1,Bolita,Párrafo de lista4,BOLADEF,Párrafo de lista3,BOLA,Foot"/>
    <w:basedOn w:val="Normal"/>
    <w:link w:val="PrrafodelistaCar"/>
    <w:uiPriority w:val="34"/>
    <w:qFormat/>
    <w:rsid w:val="005D4F9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03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Car,Ha Car,Resume Title Car,Bullet List Car,FooterText Car,numbered Car,List Paragraph1 Car,Paragraphe de liste1 Car,lp1 Car,HOJA Car,Colorful List Accent 1 Car,Colorful List - Accent 11 Car,titulo 3 Car,Párrafo de lista1 Car"/>
    <w:link w:val="Prrafodelista"/>
    <w:uiPriority w:val="34"/>
    <w:qFormat/>
    <w:rsid w:val="00B0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1136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 MURILLO HIGUERA</dc:creator>
  <cp:keywords/>
  <dc:description/>
  <cp:lastModifiedBy>TJMED</cp:lastModifiedBy>
  <cp:revision>19</cp:revision>
  <dcterms:created xsi:type="dcterms:W3CDTF">2025-05-22T20:13:00Z</dcterms:created>
  <dcterms:modified xsi:type="dcterms:W3CDTF">2025-05-23T17:25:00Z</dcterms:modified>
</cp:coreProperties>
</file>